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4C" w:rsidRPr="00C6672D" w:rsidRDefault="00AC27CD" w:rsidP="001A6C4C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TITULAR2</w:t>
      </w:r>
    </w:p>
    <w:tbl>
      <w:tblPr>
        <w:tblStyle w:val="Tablaconcuadrcula"/>
        <w:tblW w:w="0" w:type="auto"/>
        <w:tblLayout w:type="fixed"/>
        <w:tblLook w:val="04A0"/>
      </w:tblPr>
      <w:tblGrid>
        <w:gridCol w:w="1560"/>
        <w:gridCol w:w="5811"/>
        <w:gridCol w:w="1123"/>
      </w:tblGrid>
      <w:tr w:rsidR="001A6C4C" w:rsidTr="00F04E65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A6C4C" w:rsidRDefault="001A6C4C" w:rsidP="00F04E65">
            <w:pPr>
              <w:jc w:val="center"/>
              <w:rPr>
                <w:b/>
              </w:rPr>
            </w:pPr>
          </w:p>
          <w:p w:rsidR="001A6C4C" w:rsidRPr="00E12336" w:rsidRDefault="001A6C4C" w:rsidP="00F04E65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1A6C4C" w:rsidRDefault="001A6C4C" w:rsidP="00F04E65">
            <w:r>
              <w:t>Nº ECTS</w:t>
            </w:r>
          </w:p>
        </w:tc>
      </w:tr>
      <w:tr w:rsidR="001A6C4C" w:rsidTr="00F04E65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1A6C4C" w:rsidRPr="00043921" w:rsidRDefault="001A6C4C" w:rsidP="00F04E65">
            <w:pPr>
              <w:rPr>
                <w:rFonts w:ascii="Arial Narrow" w:hAnsi="Arial Narrow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C62896">
              <w:t>INTRODUCCIÓN AL SISTEMA JURÍDICO</w:t>
            </w:r>
            <w:r>
              <w:t>,  FILOSOFÍA DEL DERECHO</w:t>
            </w:r>
          </w:p>
          <w:p w:rsidR="001A6C4C" w:rsidRPr="003A369F" w:rsidRDefault="001A6C4C" w:rsidP="00F04E65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1A6C4C" w:rsidRDefault="001A6C4C" w:rsidP="00F04E65"/>
        </w:tc>
      </w:tr>
      <w:tr w:rsidR="001A6C4C" w:rsidTr="00F04E65">
        <w:trPr>
          <w:trHeight w:val="469"/>
        </w:trPr>
        <w:tc>
          <w:tcPr>
            <w:tcW w:w="1560" w:type="dxa"/>
          </w:tcPr>
          <w:p w:rsidR="001A6C4C" w:rsidRDefault="001A6C4C" w:rsidP="00F04E65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1A6C4C" w:rsidRDefault="001A6C4C" w:rsidP="00F04E65">
            <w:pPr>
              <w:rPr>
                <w:u w:val="single"/>
              </w:rPr>
            </w:pPr>
          </w:p>
          <w:p w:rsidR="001A6C4C" w:rsidRDefault="001A6C4C" w:rsidP="00F04E65">
            <w:pPr>
              <w:rPr>
                <w:u w:val="single"/>
              </w:rPr>
            </w:pPr>
          </w:p>
          <w:p w:rsidR="001A6C4C" w:rsidRDefault="001A6C4C" w:rsidP="00F04E65">
            <w:pPr>
              <w:rPr>
                <w:u w:val="single"/>
              </w:rPr>
            </w:pPr>
          </w:p>
          <w:p w:rsidR="001A6C4C" w:rsidRDefault="001A6C4C" w:rsidP="00F04E65">
            <w:pPr>
              <w:rPr>
                <w:u w:val="single"/>
              </w:rPr>
            </w:pPr>
          </w:p>
          <w:p w:rsidR="001A6C4C" w:rsidRDefault="001A6C4C" w:rsidP="00F04E65">
            <w:pPr>
              <w:rPr>
                <w:u w:val="single"/>
              </w:rPr>
            </w:pPr>
          </w:p>
          <w:p w:rsidR="001A6C4C" w:rsidRDefault="001A6C4C" w:rsidP="00F04E65">
            <w:pPr>
              <w:rPr>
                <w:u w:val="single"/>
              </w:rPr>
            </w:pPr>
          </w:p>
          <w:p w:rsidR="001A6C4C" w:rsidRDefault="001A6C4C" w:rsidP="00F04E65">
            <w:pPr>
              <w:rPr>
                <w:u w:val="single"/>
              </w:rPr>
            </w:pPr>
          </w:p>
          <w:p w:rsidR="001A6C4C" w:rsidRPr="003A369F" w:rsidRDefault="001A6C4C" w:rsidP="00F04E6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FF15FE" w:rsidRDefault="00FF15FE" w:rsidP="00FF15FE">
            <w:pPr>
              <w:rPr>
                <w:rFonts w:ascii="Arial Narrow" w:hAnsi="Arial Narrow"/>
              </w:rPr>
            </w:pPr>
            <w:r w:rsidRPr="00243362">
              <w:rPr>
                <w:rFonts w:ascii="Arial Narrow" w:hAnsi="Arial Narrow"/>
                <w:b/>
              </w:rPr>
              <w:t xml:space="preserve">Experto en </w:t>
            </w:r>
            <w:r>
              <w:rPr>
                <w:rFonts w:ascii="Arial Narrow" w:hAnsi="Arial Narrow"/>
              </w:rPr>
              <w:t>Teoría Tridimensional del Derecho; Teoría General del Derecho; Protección de datos, Sociedad de la información y derechos humanos; Informática Jurídica y Derecho Informático; y Fundamento y finalidad de la sanción.</w:t>
            </w:r>
          </w:p>
          <w:p w:rsidR="001A6C4C" w:rsidRDefault="001A6C4C" w:rsidP="00F04E65">
            <w:pPr>
              <w:rPr>
                <w:rFonts w:ascii="Arial Narrow" w:hAnsi="Arial Narrow"/>
                <w:b/>
              </w:rPr>
            </w:pPr>
            <w:r w:rsidRPr="00243362">
              <w:rPr>
                <w:rFonts w:ascii="Arial Narrow" w:hAnsi="Arial Narrow"/>
                <w:b/>
              </w:rPr>
              <w:t xml:space="preserve">Experiencia investigadora: </w:t>
            </w:r>
          </w:p>
          <w:p w:rsidR="001A6C4C" w:rsidRDefault="001A6C4C" w:rsidP="00F04E65">
            <w:pPr>
              <w:rPr>
                <w:rFonts w:ascii="Arial Narrow" w:hAnsi="Arial Narrow"/>
                <w:b/>
              </w:rPr>
            </w:pPr>
          </w:p>
          <w:p w:rsidR="001A6C4C" w:rsidRDefault="001A6C4C" w:rsidP="00F04E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Sexenio de investigación vivo reconocido.</w:t>
            </w:r>
          </w:p>
          <w:p w:rsidR="001A6C4C" w:rsidRDefault="001A6C4C" w:rsidP="00F04E65">
            <w:pPr>
              <w:rPr>
                <w:rFonts w:ascii="Arial Narrow" w:hAnsi="Arial Narrow"/>
              </w:rPr>
            </w:pPr>
          </w:p>
          <w:p w:rsidR="001A6C4C" w:rsidRDefault="001A6C4C" w:rsidP="00F04E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del Instituto de Derechos Humanos desde el día 1 de abril de 2011. Miembro del personal investigador del Instituto de Derechos Humanos desde 2004.</w:t>
            </w:r>
          </w:p>
          <w:p w:rsidR="001A6C4C" w:rsidRDefault="001A6C4C" w:rsidP="00F04E65">
            <w:pPr>
              <w:rPr>
                <w:rFonts w:ascii="Arial Narrow" w:hAnsi="Arial Narrow"/>
              </w:rPr>
            </w:pPr>
          </w:p>
          <w:p w:rsidR="001A6C4C" w:rsidRDefault="001A6C4C" w:rsidP="00F04E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Participación en numerosos proyectos de investigación nacionales y europeos, algunos de ellos como Director del Instituto de Derechos Humanos.</w:t>
            </w:r>
          </w:p>
          <w:p w:rsidR="001A6C4C" w:rsidRDefault="001A6C4C" w:rsidP="00F04E65">
            <w:pPr>
              <w:rPr>
                <w:rFonts w:ascii="Arial Narrow" w:hAnsi="Arial Narrow"/>
              </w:rPr>
            </w:pPr>
          </w:p>
          <w:p w:rsidR="001A6C4C" w:rsidRPr="00243362" w:rsidRDefault="001A6C4C" w:rsidP="00F04E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Diferentes estancias en centros de investigación en el extranjero desde el año 1995 hasta el año 2006.</w:t>
            </w:r>
          </w:p>
          <w:p w:rsidR="001A6C4C" w:rsidRDefault="001A6C4C" w:rsidP="00F04E65">
            <w:pPr>
              <w:rPr>
                <w:rFonts w:ascii="Arial Narrow" w:hAnsi="Arial Narrow"/>
              </w:rPr>
            </w:pPr>
          </w:p>
          <w:p w:rsidR="001A6C4C" w:rsidRPr="00043921" w:rsidRDefault="001A6C4C" w:rsidP="00F04E65">
            <w:pPr>
              <w:rPr>
                <w:rFonts w:ascii="Arial Narrow" w:hAnsi="Arial Narrow"/>
              </w:rPr>
            </w:pPr>
            <w:r w:rsidRPr="00043921">
              <w:rPr>
                <w:rFonts w:ascii="Arial Narrow" w:hAnsi="Arial Narrow"/>
                <w:b/>
              </w:rPr>
              <w:t>Experiencia docente</w:t>
            </w:r>
            <w:r w:rsidRPr="00043921">
              <w:rPr>
                <w:rFonts w:ascii="Arial Narrow" w:hAnsi="Arial Narrow"/>
              </w:rPr>
              <w:t>:</w:t>
            </w:r>
          </w:p>
          <w:p w:rsidR="001A6C4C" w:rsidRPr="00043921" w:rsidRDefault="001A6C4C" w:rsidP="00F04E65">
            <w:pPr>
              <w:rPr>
                <w:rFonts w:ascii="Arial Narrow" w:hAnsi="Arial Narrow"/>
              </w:rPr>
            </w:pPr>
          </w:p>
          <w:p w:rsidR="001A6C4C" w:rsidRDefault="001A6C4C" w:rsidP="00F04E65">
            <w:pPr>
              <w:rPr>
                <w:rFonts w:ascii="Arial Narrow" w:hAnsi="Arial Narrow"/>
              </w:rPr>
            </w:pPr>
            <w:r w:rsidRPr="00043921">
              <w:rPr>
                <w:rFonts w:ascii="Arial Narrow" w:hAnsi="Arial Narrow"/>
              </w:rPr>
              <w:t>Diecisiete años de docencia</w:t>
            </w:r>
            <w:r>
              <w:rPr>
                <w:rFonts w:ascii="Arial Narrow" w:hAnsi="Arial Narrow"/>
              </w:rPr>
              <w:t>.</w:t>
            </w:r>
          </w:p>
          <w:p w:rsidR="001A6C4C" w:rsidRDefault="001A6C4C" w:rsidP="00F04E65">
            <w:pPr>
              <w:rPr>
                <w:rFonts w:ascii="Arial Narrow" w:hAnsi="Arial Narrow"/>
              </w:rPr>
            </w:pPr>
          </w:p>
          <w:p w:rsidR="001A6C4C" w:rsidRDefault="001A6C4C" w:rsidP="00F04E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043921">
              <w:rPr>
                <w:rFonts w:ascii="Arial Narrow" w:hAnsi="Arial Narrow"/>
              </w:rPr>
              <w:t xml:space="preserve">os quinquenios de docencia reconocidos y otro pendiente de </w:t>
            </w:r>
            <w:r>
              <w:rPr>
                <w:rFonts w:ascii="Arial Narrow" w:hAnsi="Arial Narrow"/>
              </w:rPr>
              <w:t>concesión.</w:t>
            </w:r>
          </w:p>
          <w:p w:rsidR="001A6C4C" w:rsidRDefault="001A6C4C" w:rsidP="00F04E65">
            <w:pPr>
              <w:rPr>
                <w:rFonts w:ascii="Arial Narrow" w:hAnsi="Arial Narrow"/>
              </w:rPr>
            </w:pPr>
          </w:p>
          <w:p w:rsidR="001A6C4C" w:rsidRDefault="001A6C4C" w:rsidP="00F04E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 dirigido numerosas tesinas, trabajos de fin de grado y codirigido una tesis doctoral.</w:t>
            </w:r>
          </w:p>
          <w:p w:rsidR="001A6C4C" w:rsidRDefault="001A6C4C" w:rsidP="00F04E65">
            <w:pPr>
              <w:rPr>
                <w:rFonts w:ascii="Arial Narrow" w:hAnsi="Arial Narrow"/>
              </w:rPr>
            </w:pPr>
          </w:p>
          <w:p w:rsidR="001A6C4C" w:rsidRDefault="001A6C4C" w:rsidP="00F04E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Evaluaciones positivas o muy positivas del programa DOCENTIA. </w:t>
            </w:r>
          </w:p>
          <w:p w:rsidR="001A6C4C" w:rsidRDefault="001A6C4C" w:rsidP="00F04E65">
            <w:pPr>
              <w:rPr>
                <w:rFonts w:ascii="Arial Narrow" w:hAnsi="Arial Narrow"/>
              </w:rPr>
            </w:pPr>
          </w:p>
          <w:p w:rsidR="001A6C4C" w:rsidRPr="00043921" w:rsidRDefault="001A6C4C" w:rsidP="00F04E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 impartido clases de “</w:t>
            </w:r>
            <w:r w:rsidRPr="00043921">
              <w:rPr>
                <w:rFonts w:ascii="Arial Narrow" w:hAnsi="Arial Narrow"/>
                <w:i/>
              </w:rPr>
              <w:t>Teoría del Derecho</w:t>
            </w:r>
            <w:r>
              <w:rPr>
                <w:rFonts w:ascii="Arial Narrow" w:hAnsi="Arial Narrow"/>
              </w:rPr>
              <w:t>”, “</w:t>
            </w:r>
            <w:r w:rsidRPr="00043921">
              <w:rPr>
                <w:rFonts w:ascii="Arial Narrow" w:hAnsi="Arial Narrow"/>
                <w:i/>
              </w:rPr>
              <w:t>Derecho</w:t>
            </w:r>
            <w:r>
              <w:rPr>
                <w:rFonts w:ascii="Arial Narrow" w:hAnsi="Arial Narrow"/>
              </w:rPr>
              <w:t>”, “</w:t>
            </w:r>
            <w:r w:rsidRPr="00043921">
              <w:rPr>
                <w:rFonts w:ascii="Arial Narrow" w:hAnsi="Arial Narrow"/>
                <w:i/>
              </w:rPr>
              <w:t>Informática Jurídica y Derecho informático</w:t>
            </w:r>
            <w:r>
              <w:rPr>
                <w:rFonts w:ascii="Arial Narrow" w:hAnsi="Arial Narrow"/>
              </w:rPr>
              <w:t>”, “</w:t>
            </w:r>
            <w:r w:rsidRPr="00043921">
              <w:rPr>
                <w:rFonts w:ascii="Arial Narrow" w:hAnsi="Arial Narrow"/>
                <w:i/>
              </w:rPr>
              <w:t>Introducción a las Ciencias Jurídicas</w:t>
            </w:r>
            <w:r>
              <w:rPr>
                <w:rFonts w:ascii="Arial Narrow" w:hAnsi="Arial Narrow"/>
              </w:rPr>
              <w:t>”, “</w:t>
            </w:r>
            <w:r w:rsidRPr="00043921">
              <w:rPr>
                <w:rFonts w:ascii="Arial Narrow" w:hAnsi="Arial Narrow"/>
                <w:i/>
              </w:rPr>
              <w:t xml:space="preserve">Introducción al </w:t>
            </w:r>
            <w:r w:rsidRPr="00043921">
              <w:rPr>
                <w:rFonts w:ascii="Arial Narrow" w:hAnsi="Arial Narrow"/>
                <w:i/>
              </w:rPr>
              <w:lastRenderedPageBreak/>
              <w:t>Derecho privado francés</w:t>
            </w:r>
            <w:r>
              <w:rPr>
                <w:rFonts w:ascii="Arial Narrow" w:hAnsi="Arial Narrow"/>
              </w:rPr>
              <w:t>”, “</w:t>
            </w:r>
            <w:r w:rsidRPr="00043921">
              <w:rPr>
                <w:rFonts w:ascii="Arial Narrow" w:hAnsi="Arial Narrow"/>
                <w:i/>
              </w:rPr>
              <w:t>Protección de datos, Sociedad de la Información y Derechos Humanos</w:t>
            </w:r>
            <w:r>
              <w:rPr>
                <w:rFonts w:ascii="Arial Narrow" w:hAnsi="Arial Narrow"/>
              </w:rPr>
              <w:t>” y “</w:t>
            </w:r>
            <w:r w:rsidRPr="00043921">
              <w:rPr>
                <w:rFonts w:ascii="Arial Narrow" w:hAnsi="Arial Narrow"/>
                <w:i/>
              </w:rPr>
              <w:t>Desobediencia al Derecho</w:t>
            </w:r>
            <w:r>
              <w:rPr>
                <w:rFonts w:ascii="Arial Narrow" w:hAnsi="Arial Narrow"/>
              </w:rPr>
              <w:t xml:space="preserve">” en el grado en Derecho y la doble licenciatura hispano-francés y en doctorado en la Facultad de Derecho; en los grados de Periodismo, Comunicación Audiovisual y Publicidad y Relaciones Públicas en la Facultad de Ciencias de la Información; en el grado en Gestión y Administración Pública en la Facultad de Ciencias Políticas; en el Título Propio </w:t>
            </w:r>
            <w:r w:rsidRPr="005C5904">
              <w:rPr>
                <w:rFonts w:ascii="Arial Narrow" w:hAnsi="Arial Narrow"/>
                <w:i/>
              </w:rPr>
              <w:t>Especialista en Derechos Humanos</w:t>
            </w:r>
            <w:r>
              <w:rPr>
                <w:rFonts w:ascii="Arial Narrow" w:hAnsi="Arial Narrow"/>
              </w:rPr>
              <w:t xml:space="preserve"> en el Instituto de Derechos Humanos; y en MBA-Especialidad E-Business en la Escuela de Organización Industrial.</w:t>
            </w:r>
          </w:p>
          <w:p w:rsidR="001A6C4C" w:rsidRPr="00043921" w:rsidRDefault="001A6C4C" w:rsidP="00F04E65">
            <w:pPr>
              <w:rPr>
                <w:rFonts w:ascii="Arial Narrow" w:hAnsi="Arial Narrow"/>
              </w:rPr>
            </w:pPr>
          </w:p>
          <w:p w:rsidR="001A6C4C" w:rsidRPr="00043921" w:rsidRDefault="001A6C4C" w:rsidP="00F04E65">
            <w:pPr>
              <w:rPr>
                <w:rFonts w:ascii="Arial Narrow" w:hAnsi="Arial Narrow"/>
              </w:rPr>
            </w:pPr>
            <w:r w:rsidRPr="00043921">
              <w:rPr>
                <w:rFonts w:ascii="Arial Narrow" w:hAnsi="Arial Narrow"/>
              </w:rPr>
              <w:t xml:space="preserve">Se estima una necesidad de </w:t>
            </w:r>
            <w:r w:rsidRPr="00043921">
              <w:rPr>
                <w:rFonts w:ascii="Arial Narrow" w:hAnsi="Arial Narrow"/>
                <w:color w:val="FF0000"/>
              </w:rPr>
              <w:t>X</w:t>
            </w:r>
            <w:r w:rsidRPr="00043921">
              <w:rPr>
                <w:rFonts w:ascii="Arial Narrow" w:hAnsi="Arial Narrow"/>
              </w:rPr>
              <w:t xml:space="preserve"> profesores</w:t>
            </w:r>
          </w:p>
        </w:tc>
      </w:tr>
      <w:tr w:rsidR="001A6C4C" w:rsidTr="00F04E65">
        <w:trPr>
          <w:trHeight w:val="871"/>
        </w:trPr>
        <w:tc>
          <w:tcPr>
            <w:tcW w:w="1560" w:type="dxa"/>
          </w:tcPr>
          <w:p w:rsidR="001A6C4C" w:rsidRDefault="001A6C4C" w:rsidP="00F04E65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Líneas de investigación</w:t>
            </w:r>
          </w:p>
          <w:p w:rsidR="001A6C4C" w:rsidRDefault="001A6C4C" w:rsidP="00F04E65">
            <w:pPr>
              <w:rPr>
                <w:u w:val="single"/>
              </w:rPr>
            </w:pPr>
          </w:p>
          <w:p w:rsidR="001A6C4C" w:rsidRDefault="001A6C4C" w:rsidP="00F04E65">
            <w:pPr>
              <w:rPr>
                <w:u w:val="single"/>
              </w:rPr>
            </w:pPr>
          </w:p>
          <w:p w:rsidR="001A6C4C" w:rsidRDefault="001A6C4C" w:rsidP="00F04E65">
            <w:pPr>
              <w:rPr>
                <w:u w:val="single"/>
              </w:rPr>
            </w:pPr>
          </w:p>
          <w:p w:rsidR="001A6C4C" w:rsidRDefault="001A6C4C" w:rsidP="00F04E65">
            <w:pPr>
              <w:rPr>
                <w:u w:val="single"/>
              </w:rPr>
            </w:pPr>
          </w:p>
          <w:p w:rsidR="001A6C4C" w:rsidRDefault="001A6C4C" w:rsidP="00F04E65">
            <w:pPr>
              <w:rPr>
                <w:u w:val="single"/>
              </w:rPr>
            </w:pPr>
          </w:p>
          <w:p w:rsidR="001A6C4C" w:rsidRDefault="001A6C4C" w:rsidP="00F04E65">
            <w:pPr>
              <w:rPr>
                <w:u w:val="single"/>
              </w:rPr>
            </w:pPr>
          </w:p>
          <w:p w:rsidR="001A6C4C" w:rsidRPr="003A369F" w:rsidRDefault="001A6C4C" w:rsidP="00F04E6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A6C4C" w:rsidRDefault="001A6C4C" w:rsidP="00F04E65">
            <w:pPr>
              <w:rPr>
                <w:rFonts w:ascii="Arial Narrow" w:hAnsi="Arial Narrow"/>
              </w:rPr>
            </w:pPr>
          </w:p>
          <w:p w:rsidR="001A6C4C" w:rsidRPr="00043921" w:rsidRDefault="001A6C4C" w:rsidP="00F04E65">
            <w:pPr>
              <w:rPr>
                <w:rFonts w:ascii="Arial Narrow" w:hAnsi="Arial Narrow"/>
              </w:rPr>
            </w:pPr>
            <w:r w:rsidRPr="00043921">
              <w:rPr>
                <w:rFonts w:ascii="Arial Narrow" w:hAnsi="Arial Narrow"/>
              </w:rPr>
              <w:t>1.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Tridimensionalismo</w:t>
            </w:r>
            <w:proofErr w:type="spellEnd"/>
            <w:r>
              <w:rPr>
                <w:rFonts w:ascii="Arial Narrow" w:hAnsi="Arial Narrow"/>
              </w:rPr>
              <w:t xml:space="preserve"> y Derecho</w:t>
            </w:r>
          </w:p>
          <w:p w:rsidR="001A6C4C" w:rsidRPr="00043921" w:rsidRDefault="001A6C4C" w:rsidP="00F04E65">
            <w:pPr>
              <w:rPr>
                <w:rFonts w:ascii="Arial Narrow" w:hAnsi="Arial Narrow"/>
              </w:rPr>
            </w:pPr>
            <w:r w:rsidRPr="00043921">
              <w:rPr>
                <w:rFonts w:ascii="Arial Narrow" w:hAnsi="Arial Narrow"/>
              </w:rPr>
              <w:t>2.</w:t>
            </w:r>
            <w:r>
              <w:rPr>
                <w:rFonts w:ascii="Arial Narrow" w:hAnsi="Arial Narrow"/>
              </w:rPr>
              <w:t xml:space="preserve"> Teoría General del Derecho</w:t>
            </w:r>
          </w:p>
          <w:p w:rsidR="001A6C4C" w:rsidRPr="00043921" w:rsidRDefault="001A6C4C" w:rsidP="00F04E65">
            <w:pPr>
              <w:rPr>
                <w:rFonts w:ascii="Arial Narrow" w:hAnsi="Arial Narrow"/>
              </w:rPr>
            </w:pPr>
            <w:r w:rsidRPr="00043921">
              <w:rPr>
                <w:rFonts w:ascii="Arial Narrow" w:hAnsi="Arial Narrow"/>
              </w:rPr>
              <w:t>3.</w:t>
            </w:r>
            <w:r>
              <w:rPr>
                <w:rFonts w:ascii="Arial Narrow" w:hAnsi="Arial Narrow"/>
              </w:rPr>
              <w:t xml:space="preserve"> Protección de datos, Sociedad de la Información y Derechos Humanos</w:t>
            </w:r>
          </w:p>
          <w:p w:rsidR="001A6C4C" w:rsidRPr="00043921" w:rsidRDefault="001A6C4C" w:rsidP="00F04E65">
            <w:pPr>
              <w:rPr>
                <w:rFonts w:ascii="Arial Narrow" w:hAnsi="Arial Narrow"/>
              </w:rPr>
            </w:pPr>
            <w:r w:rsidRPr="00043921">
              <w:rPr>
                <w:rFonts w:ascii="Arial Narrow" w:hAnsi="Arial Narrow"/>
              </w:rPr>
              <w:t>4.</w:t>
            </w:r>
            <w:r>
              <w:rPr>
                <w:rFonts w:ascii="Arial Narrow" w:hAnsi="Arial Narrow"/>
              </w:rPr>
              <w:t xml:space="preserve"> Informática Jurídica y Derecho Informático</w:t>
            </w:r>
          </w:p>
          <w:p w:rsidR="001A6C4C" w:rsidRPr="00043921" w:rsidRDefault="001A6C4C" w:rsidP="00F04E65">
            <w:pPr>
              <w:rPr>
                <w:rFonts w:ascii="Arial Narrow" w:hAnsi="Arial Narrow"/>
              </w:rPr>
            </w:pPr>
            <w:r w:rsidRPr="00043921">
              <w:rPr>
                <w:rFonts w:ascii="Arial Narrow" w:hAnsi="Arial Narrow"/>
              </w:rPr>
              <w:t>5.</w:t>
            </w:r>
            <w:r>
              <w:rPr>
                <w:rFonts w:ascii="Arial Narrow" w:hAnsi="Arial Narrow"/>
              </w:rPr>
              <w:t xml:space="preserve"> Fundamento y finalidad de la sanción</w:t>
            </w:r>
          </w:p>
          <w:p w:rsidR="001A6C4C" w:rsidRPr="00043921" w:rsidRDefault="001A6C4C" w:rsidP="00F04E65">
            <w:pPr>
              <w:rPr>
                <w:rFonts w:ascii="Arial Narrow" w:hAnsi="Arial Narrow"/>
              </w:rPr>
            </w:pPr>
          </w:p>
        </w:tc>
      </w:tr>
      <w:tr w:rsidR="001A6C4C" w:rsidTr="00F04E65">
        <w:tc>
          <w:tcPr>
            <w:tcW w:w="1560" w:type="dxa"/>
          </w:tcPr>
          <w:p w:rsidR="001A6C4C" w:rsidRDefault="001A6C4C" w:rsidP="00F04E65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1A6C4C" w:rsidRDefault="001A6C4C" w:rsidP="00F04E65">
            <w:pPr>
              <w:rPr>
                <w:u w:val="single"/>
              </w:rPr>
            </w:pPr>
          </w:p>
          <w:p w:rsidR="001A6C4C" w:rsidRDefault="001A6C4C" w:rsidP="00F04E65">
            <w:pPr>
              <w:rPr>
                <w:u w:val="single"/>
              </w:rPr>
            </w:pPr>
          </w:p>
          <w:p w:rsidR="001A6C4C" w:rsidRDefault="001A6C4C" w:rsidP="00F04E65">
            <w:pPr>
              <w:rPr>
                <w:u w:val="single"/>
              </w:rPr>
            </w:pPr>
          </w:p>
          <w:p w:rsidR="001A6C4C" w:rsidRDefault="001A6C4C" w:rsidP="00F04E65">
            <w:pPr>
              <w:rPr>
                <w:u w:val="single"/>
              </w:rPr>
            </w:pPr>
          </w:p>
          <w:p w:rsidR="001A6C4C" w:rsidRDefault="001A6C4C" w:rsidP="00F04E65">
            <w:pPr>
              <w:rPr>
                <w:u w:val="single"/>
              </w:rPr>
            </w:pPr>
          </w:p>
          <w:p w:rsidR="001A6C4C" w:rsidRDefault="001A6C4C" w:rsidP="00F04E65">
            <w:pPr>
              <w:rPr>
                <w:u w:val="single"/>
              </w:rPr>
            </w:pPr>
          </w:p>
          <w:p w:rsidR="001A6C4C" w:rsidRDefault="001A6C4C" w:rsidP="00F04E65">
            <w:pPr>
              <w:rPr>
                <w:u w:val="single"/>
              </w:rPr>
            </w:pPr>
          </w:p>
          <w:p w:rsidR="001A6C4C" w:rsidRPr="003A369F" w:rsidRDefault="001A6C4C" w:rsidP="00F04E6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A6C4C" w:rsidRPr="00D22654" w:rsidRDefault="001A6C4C" w:rsidP="00F04E65">
            <w:pPr>
              <w:pStyle w:val="Textodeglobo"/>
              <w:spacing w:line="276" w:lineRule="auto"/>
              <w:ind w:firstLine="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2654">
              <w:rPr>
                <w:rFonts w:ascii="Arial Narrow" w:hAnsi="Arial Narrow" w:cs="Arial"/>
                <w:b/>
                <w:sz w:val="22"/>
                <w:szCs w:val="22"/>
              </w:rPr>
              <w:t>MONOGRAFÍAS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58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Tridimensionalismo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y Derecho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>. Madrid. Servicio de Publicaciones de la Facultad de Derecho de la Universidad Complutense de Madrid. 2004. (338 págs.) ISBN 84-8481-035-6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left="-2"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Default="001A6C4C" w:rsidP="00F04E65">
            <w:pPr>
              <w:pStyle w:val="Textodeglobo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2C3CF9">
              <w:rPr>
                <w:rFonts w:ascii="Arial Narrow" w:hAnsi="Arial Narrow" w:cs="Arial"/>
                <w:i/>
                <w:sz w:val="22"/>
                <w:szCs w:val="22"/>
              </w:rPr>
              <w:t xml:space="preserve">Fundamento y finalidad de la sanción: ¿Un derecho a castigar? </w:t>
            </w:r>
            <w:r w:rsidRPr="002C3CF9">
              <w:rPr>
                <w:rFonts w:ascii="Arial Narrow" w:hAnsi="Arial Narrow" w:cs="Arial"/>
                <w:sz w:val="22"/>
                <w:szCs w:val="22"/>
              </w:rPr>
              <w:t>Coautora: María José Falcón y Tella. Prólogo de Antonio García-</w:t>
            </w:r>
            <w:proofErr w:type="spellStart"/>
            <w:r w:rsidRPr="002C3CF9">
              <w:rPr>
                <w:rFonts w:ascii="Arial Narrow" w:hAnsi="Arial Narrow" w:cs="Arial"/>
                <w:sz w:val="22"/>
                <w:szCs w:val="22"/>
              </w:rPr>
              <w:t>Pablos</w:t>
            </w:r>
            <w:proofErr w:type="spellEnd"/>
            <w:r w:rsidRPr="002C3CF9">
              <w:rPr>
                <w:rFonts w:ascii="Arial Narrow" w:hAnsi="Arial Narrow" w:cs="Arial"/>
                <w:sz w:val="22"/>
                <w:szCs w:val="22"/>
              </w:rPr>
              <w:t>. Madrid. Marcial Pons. 2005. (323 págs.) ISBN 84-9768-244-0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left="-2" w:firstLine="2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58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Punishment and Culture: A Right to Punish?</w:t>
            </w:r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Coautora: María José Falcón y Tella. Trad. al inglés de Peter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Muckley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>. Prólogo de Antonio García-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Pablos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. Boston-Leiden.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Martinus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Nijhoff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Publishers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>. 2006. (267 páginas) ISBN: 90 04 15149 4.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left="-2"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58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Nuevos retos de los derechos humanos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, Prólogo de la Catedrática de Filosofía del Derecho de la Universidad de Bolonia, Carla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Faralli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>. Madrid. Difusión Jurídica y Temas de Actualidad. 2006. (278 págs.) ISBN: 84-95545-97-7.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left="-2"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58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Challenges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for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Human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Rights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Trad. al inglés de Howard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Shneider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, revisada por el autor. Boston-Leiden.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Martinus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Nijhoff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>. 2007. (137 págs.) ISBN: 978 9004 16022 4.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58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Les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nouveaux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défis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des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Droits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de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l’Homme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Trad. al francés de Nicole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Bregain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, revisada por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Danièle-Anne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Rens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Genève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Editions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Divers</w:t>
            </w:r>
            <w:r w:rsidRPr="00F11291">
              <w:rPr>
                <w:rFonts w:ascii="Arial Narrow" w:hAnsi="Arial Narrow" w:cs="Arial"/>
                <w:sz w:val="22"/>
                <w:szCs w:val="22"/>
                <w:lang w:val="fr-FR"/>
              </w:rPr>
              <w:t>ités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. 2007. (145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  <w:lang w:val="fr-FR"/>
              </w:rPr>
              <w:t>págs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  <w:lang w:val="fr-FR"/>
              </w:rPr>
              <w:t>.) ISBN : 2-9700378-5-8.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left="-2" w:firstLine="2"/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58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Fundamento e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finalidade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da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sançao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. Existe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um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direito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de castigar</w:t>
            </w:r>
            <w:proofErr w:type="gram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?</w:t>
            </w:r>
            <w:proofErr w:type="gram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Coautora: María José Falcón y Tella. Trad. al portugués de Claudia de Miranda Avena, revisada por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Luiz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Flavio Gomes. Sao Paulo. Editora Revista dos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Tribunais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F11291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2008. (320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  <w:lang w:val="fr-FR"/>
              </w:rPr>
              <w:t>págs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  <w:lang w:val="fr-FR"/>
              </w:rPr>
              <w:t>.) ISBN : 9788520333259.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left="-2" w:firstLine="2"/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:rsidR="001A6C4C" w:rsidRDefault="001A6C4C" w:rsidP="00F04E65">
            <w:pPr>
              <w:pStyle w:val="Textodeglobo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58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  <w:t>Fondamento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  <w:t xml:space="preserve"> e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  <w:t>finalità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  <w:t>della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  <w:t>sanzione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  <w:t xml:space="preserve">: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  <w:t>diritto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  <w:t xml:space="preserve"> di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  <w:t>punire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  <w:t>?</w:t>
            </w:r>
            <w:r w:rsidRPr="00F11291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Coautora: María José Falcón y Tella. Trad. al italiano de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Raffaello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Dal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Col.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  <w:lang w:val="fr-FR"/>
              </w:rPr>
              <w:t>Milán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  <w:lang w:val="fr-FR"/>
              </w:rPr>
              <w:t>Giuffrè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. 2008. (290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  <w:lang w:val="fr-FR"/>
              </w:rPr>
              <w:t>págs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.) ISBN: 8814 14169 X. </w:t>
            </w:r>
          </w:p>
          <w:p w:rsidR="001A6C4C" w:rsidRDefault="001A6C4C" w:rsidP="00F04E65">
            <w:pPr>
              <w:pStyle w:val="Prrafodelista"/>
              <w:rPr>
                <w:rFonts w:ascii="Arial Narrow" w:hAnsi="Arial Narrow" w:cs="Arial"/>
                <w:lang w:val="fr-FR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58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Anuario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Derechos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Humanos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. </w:t>
            </w:r>
            <w:r w:rsidRPr="00DB4E07"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  <w:t xml:space="preserve">IN VARIETATE CONCORDIA. </w:t>
            </w:r>
            <w:proofErr w:type="spellStart"/>
            <w:r w:rsidRPr="00DB4E07"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  <w:t>Homenaje</w:t>
            </w:r>
            <w:proofErr w:type="spellEnd"/>
            <w:r w:rsidRPr="00DB4E07"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  <w:t xml:space="preserve"> al </w:t>
            </w:r>
            <w:proofErr w:type="spellStart"/>
            <w:r w:rsidRPr="00DB4E07"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  <w:t>profesor</w:t>
            </w:r>
            <w:proofErr w:type="spellEnd"/>
            <w:r w:rsidRPr="00DB4E07"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  <w:t xml:space="preserve"> Dr. Manuel Nuñez </w:t>
            </w:r>
            <w:proofErr w:type="spellStart"/>
            <w:r w:rsidRPr="00DB4E07"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  <w:t>Encabo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Volumen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13 y 14.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Instituto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Derechos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Humanos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. 2012 y 2013.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Coordinador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firstLine="2"/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:rsidR="001A6C4C" w:rsidRPr="00D22654" w:rsidRDefault="001A6C4C" w:rsidP="00F04E65">
            <w:pPr>
              <w:pStyle w:val="Textodeglobo"/>
              <w:spacing w:line="276" w:lineRule="auto"/>
              <w:ind w:firstLine="2"/>
              <w:jc w:val="both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D22654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ARTÍCULOS EN REVISTA</w:t>
            </w:r>
            <w: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S Y PUBLICACIONES ESPAÑ</w:t>
            </w:r>
            <w:r w:rsidRPr="00D22654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OLAS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firstLine="2"/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“La doble financiación de las televisiones públicas en España desde la óptica del Derecho de la Competencia”.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Revista Aragonesa de Administración Pública,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núm.8, junio de 1996, págs. 211-232. ISSN 1133-4797.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left="-2"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sz w:val="22"/>
                <w:szCs w:val="22"/>
              </w:rPr>
              <w:t>“Efectos de la omisión del dictamen del Consejo de Estado en los procedimientos de elaboración de disposiciones generales”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. Revista Jurídica LA LEY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, Año XVI, núm. 3937 (1994-4, 408). 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left="-2"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“Diferenciación en las retribuciones de los miembros de las Fuerzas Armadas en situación de reserva (A propósito de la Sentencia del Tribunal Supremo de 21 de octubre de 1993)”.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Revista Jurídica LA LEY,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Año XV, núm. 3627 (1994-1, 407),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págs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1-5.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left="-2"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“Introducción, traducción y notas de la Circular del Primer Ministro francés, Mr.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Edouard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Balladur, de 21 de marzo de 1994, relativa a las relaciones entre las Administraciones francesas y las Instituciones de la Unión Europea”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Revista de Administración Pública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>, núm. 134, mayo-agosto 1994, págs. 543-556. ISSN 0034-7639.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left="-2"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“La familia, el Estado, la Iglesia: pasado y nuevos horizontes”.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Anuario de Derechos Humanos. Nueva Época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, volumen 5, 2004,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págs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189-215. ISSN 0212-0364.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left="-2"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“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>Valores, normas y hechos en el Derecho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”, Revista de Estudios Políticos. Nueva Época, 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>núm. 126, octubre-diciembre 2004, págs. 321-334. ISSN 0048-7694.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left="-2"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“Para una Teoría del conocimiento”.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Foro. Revista de Ciencias Jurídicas y Sociales. Nueva Época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>, 2004, págs. 51-68. ISSN 1698-5583.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left="-2"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“Límites del derecho a sancionar”,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Anuario de Derechos Humanos. Nueva Época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>, volumen 6. 2005, págs. 231-247. ISSN 0212-0364.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“Examen crítico de los diferentes tipos de Estado y el derecho a castigar”.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Foro. Revista de Ciencias Jurídicas y Sociales. Nueva Época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>, 2, 2005, págs. 335-359. ISSN 1698-5583.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left="-2"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sz w:val="22"/>
                <w:szCs w:val="22"/>
              </w:rPr>
              <w:t>“Educación, derechos y sanción: entre la retribución y la prevención”. Diario La Ley. Especial Jóvenes Investigadores. nº 6401, martes, 17 de enero de 2006. ISSN 1138-9907.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left="-2"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sz w:val="22"/>
                <w:szCs w:val="22"/>
              </w:rPr>
              <w:t>“Hacia un nuevo orden mundial: el fenómeno de la globalización”, en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Anuario de Derechos Humanos. Nueva Época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>, volumen 8, 2007, págs. 115-129. ISSN 0212-0364.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left="-2"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sz w:val="22"/>
                <w:szCs w:val="22"/>
              </w:rPr>
              <w:t>“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Muticulturalismo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y derechos humanos”, en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Veritas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Fons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Iustitiae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>, Libro Homenaje al profesor Dr. Ángel Sánchez de la Torre, tomo I, 2008, págs. 177-197. ISBN Tomo I 978-84-8481-094-0.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left="-2"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“Medidas de seguridad aplicables a ficheros y tratamientos de datos de carácter personal”, en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Foro. Revista de Ciencias Jurídicas y Sociales. Nueva Época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>, 2, 2008, págs. 193-221. ISSN 1698-5583.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left="-2"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sz w:val="22"/>
                <w:szCs w:val="22"/>
              </w:rPr>
              <w:t>“El principio de seguridad y el derecho fundamental a la protección de datos personales”, en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Anuario de Derechos Humanos. Nueva Época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>, volumen 10, 2009, págs. 131-171. ISSN 0212-0364.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D22654" w:rsidRDefault="001A6C4C" w:rsidP="00F04E65">
            <w:pPr>
              <w:pStyle w:val="Textodeglobo"/>
              <w:spacing w:line="276" w:lineRule="auto"/>
              <w:ind w:firstLine="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2654">
              <w:rPr>
                <w:rFonts w:ascii="Arial Narrow" w:hAnsi="Arial Narrow" w:cs="Arial"/>
                <w:b/>
                <w:sz w:val="22"/>
                <w:szCs w:val="22"/>
              </w:rPr>
              <w:t>ARTÍCULOS EN REVISTAS Y PUBLICACIONES EXTRANJERAS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2"/>
              <w:jc w:val="both"/>
              <w:textAlignment w:val="baseline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F11291">
              <w:rPr>
                <w:rFonts w:ascii="Arial Narrow" w:hAnsi="Arial Narrow" w:cs="Arial"/>
                <w:sz w:val="22"/>
                <w:szCs w:val="22"/>
              </w:rPr>
              <w:t>“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Valeurs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, Normes et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Faits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dans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le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Droi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t”,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  <w:lang w:val="fr-FR"/>
              </w:rPr>
              <w:t xml:space="preserve">Revue Interdisciplinaire d’Études Juridiques, </w:t>
            </w:r>
            <w:r w:rsidRPr="00F11291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nº 53,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  <w:lang w:val="fr-FR"/>
              </w:rPr>
              <w:t>diciembre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2004,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  <w:lang w:val="fr-FR"/>
              </w:rPr>
              <w:t>págs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. 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>123</w:t>
            </w:r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>-139. ISSN 0770-2310.</w:t>
            </w:r>
          </w:p>
          <w:p w:rsidR="001A6C4C" w:rsidRPr="00F11291" w:rsidRDefault="001A6C4C" w:rsidP="00F04E65">
            <w:pPr>
              <w:pStyle w:val="Textodeglobo"/>
              <w:tabs>
                <w:tab w:val="left" w:pos="1050"/>
              </w:tabs>
              <w:spacing w:line="276" w:lineRule="auto"/>
              <w:ind w:left="-360" w:firstLine="1052"/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2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“The Main Representatives of Civil Disobedience”,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Indian Socio-Legal Journal</w:t>
            </w:r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vol. </w:t>
            </w:r>
            <w:r w:rsidRPr="00F11291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XXXI, nº 1 y 2,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  <w:lang w:val="fr-FR"/>
              </w:rPr>
              <w:t>págs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  <w:lang w:val="fr-FR"/>
              </w:rPr>
              <w:t>. 45-59. ISSN 0970-7972.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left="-360" w:firstLine="2"/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2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“El castigo en las Ciencias Jurídicas”,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Iuris Tantum. Revista de la Facultad de Derecho.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Universidad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Anáhuac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>Méjico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nº 16,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>otoño-invierno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2005,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>págs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. 61-77. 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left="-360" w:firstLine="2"/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2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“The Right to Punish”, en ALFRED FERNÁNDEZ-GEOFFREY GOWLAND,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Towards a Human Rights Culture. An alternative Manual on Fundamental Rights and the Right to Education</w:t>
            </w:r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>Université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>d’été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des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>droits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>l’homme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>Ginebra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Editions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>Diversités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, 2006,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>págs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. 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>100-113. ISBN 2-9700378-4-X.</w:t>
            </w:r>
          </w:p>
          <w:p w:rsidR="001A6C4C" w:rsidRPr="00F11291" w:rsidRDefault="001A6C4C" w:rsidP="00F04E65">
            <w:pPr>
              <w:pStyle w:val="Prrafodelista"/>
              <w:rPr>
                <w:rFonts w:ascii="Arial Narrow" w:hAnsi="Arial Narrow" w:cs="Arial"/>
                <w:lang w:val="fr-FR"/>
              </w:rPr>
            </w:pPr>
          </w:p>
          <w:p w:rsidR="001A6C4C" w:rsidRPr="00D22654" w:rsidRDefault="001A6C4C" w:rsidP="00F04E65">
            <w:pPr>
              <w:pStyle w:val="Textodeglobo"/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D22654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RECENSIONES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left="362"/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2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Consejo de Estado y elaboración de reglamentos estatales y autonómicos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, Ricardo Alonso García,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Civitas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, Madrid, l992, l69 págs.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Revista de Administración Pública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, núm. 133, enero-abril l994,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págs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570 a 575. ISSN 0034-7639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2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Estudios de Derecho Administrativo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, Manuel Clavero Arévalo,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Civitas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, Madrid, l992, 446 págs.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Revista Española de Derecho Administrativo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>, núm. 82, abril-junio 1994, págs. 337 a 341. ISSN 0210-8461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2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Inmunidad parlamentaria y jurisprudencia constitucional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>, Lorenzo Martín-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Retortillo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Baquer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; Joaquín García Morillo; y otros, Centro de Estudios Constitucionales, Madrid, 1994, 174 págs.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Revista de Administración Pública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>, núm. 135, septiembre-diciembre 1994, págs. 560 a 563. ISSN 0034-7639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2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Régimen jurídico-administrativo del transporte interurbano por carretera,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Eloísa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Carbonell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Porras, Coedición del Servicio de Publicaciones de la Facultad de Derecho de la Universidad Complutense de Madrid y del Servicio de Publicaciones de la Universidad de Córdoba, Madrid, 1993, 488 págs.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Revista Española de Derecho Administrativo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>, núm. 87, julio-septiembre 1995, págs. 465 a 470. ISSN 0210-8461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2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La Filosofía del Derecho contemporánea. Temas y desafíos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, Carla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Faralli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Traducción al castellano de María José Falcón y Tella y Juan Antonio Martínez Muñoz. Revisión, ampliación y anotación bibliográfica de la traducción por José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Iturmendi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Morales. Madrid-Argentina. Servicio de Publicaciones. Facultad de Derecho. Universidad Complutense de Madrid-Hispania Libros. 2007. 341 págs.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Anuario de Derechos Humanos, Nueva Época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>, volumen 8, 2007, págs. 496-500. ISSN: 0212-0364.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left="-3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numPr>
                <w:ilvl w:val="0"/>
                <w:numId w:val="4"/>
              </w:numPr>
              <w:spacing w:after="200" w:line="276" w:lineRule="auto"/>
              <w:ind w:left="362"/>
              <w:jc w:val="both"/>
              <w:rPr>
                <w:rFonts w:ascii="Arial Narrow" w:hAnsi="Arial Narrow" w:cs="Arial"/>
              </w:rPr>
            </w:pPr>
            <w:proofErr w:type="spellStart"/>
            <w:r w:rsidRPr="00F11291">
              <w:rPr>
                <w:rFonts w:ascii="Arial Narrow" w:hAnsi="Arial Narrow" w:cs="Arial"/>
                <w:i/>
              </w:rPr>
              <w:t>Averroes</w:t>
            </w:r>
            <w:proofErr w:type="spellEnd"/>
            <w:r w:rsidRPr="00F11291">
              <w:rPr>
                <w:rFonts w:ascii="Arial Narrow" w:hAnsi="Arial Narrow" w:cs="Arial"/>
                <w:i/>
              </w:rPr>
              <w:t xml:space="preserve">/Ibn </w:t>
            </w:r>
            <w:proofErr w:type="spellStart"/>
            <w:r w:rsidRPr="00F11291">
              <w:rPr>
                <w:rFonts w:ascii="Arial Narrow" w:hAnsi="Arial Narrow" w:cs="Arial"/>
                <w:i/>
              </w:rPr>
              <w:t>Rushd</w:t>
            </w:r>
            <w:proofErr w:type="spellEnd"/>
            <w:r w:rsidRPr="00F11291">
              <w:rPr>
                <w:rFonts w:ascii="Arial Narrow" w:hAnsi="Arial Narrow" w:cs="Arial"/>
                <w:i/>
              </w:rPr>
              <w:t>. Senda de Occidente. Esperanza del Islam</w:t>
            </w:r>
            <w:r w:rsidRPr="00F11291">
              <w:rPr>
                <w:rFonts w:ascii="Arial Narrow" w:hAnsi="Arial Narrow" w:cs="Arial"/>
              </w:rPr>
              <w:t xml:space="preserve">, Emilio Suñé Llinás, Servicio de Publicaciones de la Facultad de Derecho, Universidad Complutense de Madrid, Madrid, 2007, 164 págs. </w:t>
            </w:r>
            <w:r w:rsidRPr="00F11291">
              <w:rPr>
                <w:rFonts w:ascii="Arial Narrow" w:hAnsi="Arial Narrow" w:cs="Arial"/>
                <w:i/>
              </w:rPr>
              <w:t>Anuario de Derechos Humanos, Nueva Época</w:t>
            </w:r>
            <w:r w:rsidRPr="00F11291">
              <w:rPr>
                <w:rFonts w:ascii="Arial Narrow" w:hAnsi="Arial Narrow" w:cs="Arial"/>
              </w:rPr>
              <w:t>, volumen 9, 2008, págs. 673-677. ISSN: 0212-0364.</w:t>
            </w:r>
          </w:p>
          <w:p w:rsidR="001A6C4C" w:rsidRDefault="001A6C4C" w:rsidP="00F04E65">
            <w:pPr>
              <w:ind w:firstLine="2"/>
              <w:jc w:val="both"/>
              <w:rPr>
                <w:rFonts w:ascii="Arial Narrow" w:hAnsi="Arial Narrow" w:cs="Arial"/>
                <w:b/>
              </w:rPr>
            </w:pPr>
            <w:r w:rsidRPr="00D22654">
              <w:rPr>
                <w:rFonts w:ascii="Arial Narrow" w:hAnsi="Arial Narrow" w:cs="Arial"/>
                <w:b/>
              </w:rPr>
              <w:t>TRADUCCIONES</w:t>
            </w:r>
          </w:p>
          <w:p w:rsidR="001A6C4C" w:rsidRPr="00D22654" w:rsidRDefault="001A6C4C" w:rsidP="00F04E65">
            <w:pPr>
              <w:ind w:firstLine="2"/>
              <w:jc w:val="both"/>
              <w:rPr>
                <w:rFonts w:ascii="Arial Narrow" w:hAnsi="Arial Narrow" w:cs="Arial"/>
                <w:b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2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El discreto civilizador de naciones. El auge y la caída del Derecho internacional 1870-1960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, de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Martti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Koskenniemi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(del original inglés,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The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Gentle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Civilizer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of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Nations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–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Cambridge. Cambridge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University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Press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, 2001)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, Buenos Aires-Madrid, Ed. Ciudad Argentina-Universidad Complutense de Madrid, 2005. (530 págs.) Revisión de la traducción castellana. ISBN 987-507-306-7 </w:t>
            </w:r>
            <w:proofErr w:type="gramStart"/>
            <w:r w:rsidRPr="00F11291">
              <w:rPr>
                <w:rFonts w:ascii="Arial Narrow" w:hAnsi="Arial Narrow" w:cs="Arial"/>
                <w:sz w:val="22"/>
                <w:szCs w:val="22"/>
              </w:rPr>
              <w:t>y</w:t>
            </w:r>
            <w:proofErr w:type="gram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ISBN 84-95823-91-8.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2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“Escuchando a través del velo del texto (Cantar de los Cantares 5,7): Cómo me hago responsable”, de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Carole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Fontaine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[del original inglés, “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Listening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Through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the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Textual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Veil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Song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of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Songs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5,7):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How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Hold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Myself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Accountable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", publicado en Charles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Cosgrove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(ed.),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The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Meaning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We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Choose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”, Sheffield, U.K., Sheffield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Academic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], publicada en castellano en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Anuario de Derechos Humanos. Nueva Época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>, volumen 4, págs.</w:t>
            </w:r>
            <w:r w:rsidRPr="00F11291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79-111. ISSN 0212-0364.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firstLine="2"/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2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“Dominación, resistencia y democracia de contestación. El entramado político de la Antígona de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Sofocles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”, de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Philippe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Gerard (del original francés, "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Domination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résistance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et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démocratie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de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contestation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. Les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enjeux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politiques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de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l'Antigone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de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Sophocle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", exposición presentada el 10 de noviembre de 2000 en el coloquio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Antigone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et la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résistance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civile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, organizado en Bruselas por la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Université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Libre de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Bruxelles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, las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Facultés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Universitaires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Saint-Louis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y el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Centre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Européen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de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Civisme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), publicada en castellano en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Anuario de Derechos Humanos. Nueva Época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>, volumen 4, 2003, págs. 177-193. ISSN 0212-0364.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2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“Nuevos retos para los derechos humanos. El futuro a la luz del pasado”, de Paul Gordon Lauren (del original inglés, “New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Challenges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for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Human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Rights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The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Future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in Light of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the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Past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”, conferencia presentada en las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II Jornadas Internacionales “Nuevos retos de los derechos humanos”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, celebradas por el Instituto de Derechos Humanos de la Facultad de Derecho de la Universidad Complutense de Madrid en 2003), publicada en castellano en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Anuario de Derechos Humanos. Nueva Época,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volumen 5, 2004, págs. 369-286. ISSN 0212-0364.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2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“El fin (al) de los derechos humanos”, de Costas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Douzinas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(del original inglés “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The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End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(s) of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Human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Rights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”, publicado en la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Melbourne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University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Law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Review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), publicada en castellano en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Anuario de Derechos Humanos. Nueva Época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>, volumen 7, tomo I, 2005, págs. 309-341. ISSN 0212-0364.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2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“El niño en la nieve”, de Timothy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Endicott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>, (del original inglés, “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The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Infant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in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the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snow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”, publicado por primera vez en inglés en Timothy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Endicott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, Joshua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Getzler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y Edwin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Peel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(eds.),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Properties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of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Law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: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Essays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in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Honour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of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Jim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Harris, Oxford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University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Press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, 2005, capítulo 17), publicada en castellano en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Anuario de Derechos Humanos. Nueva Época,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volumen 7, tomo I, 2005, págs. 341-371. ISSN 0212-0364.</w:t>
            </w:r>
          </w:p>
          <w:p w:rsidR="001A6C4C" w:rsidRPr="00F11291" w:rsidRDefault="001A6C4C" w:rsidP="00F04E65">
            <w:pPr>
              <w:pStyle w:val="Textodeglobo"/>
              <w:spacing w:line="276" w:lineRule="auto"/>
              <w:ind w:firstLine="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A6C4C" w:rsidRPr="00F11291" w:rsidRDefault="001A6C4C" w:rsidP="00F04E65">
            <w:pPr>
              <w:pStyle w:val="Textodeglobo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2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“La gobernación global y el Derecho Internacional Público”, de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Martti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Koskenniemi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(del original inglés, “Global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Governance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and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Public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 International </w:t>
            </w:r>
            <w:proofErr w:type="spellStart"/>
            <w:r w:rsidRPr="00F11291">
              <w:rPr>
                <w:rFonts w:ascii="Arial Narrow" w:hAnsi="Arial Narrow" w:cs="Arial"/>
                <w:sz w:val="22"/>
                <w:szCs w:val="22"/>
              </w:rPr>
              <w:t>Law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”, publicado en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Kritische</w:t>
            </w:r>
            <w:proofErr w:type="spellEnd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Justiz</w:t>
            </w:r>
            <w:proofErr w:type="spellEnd"/>
            <w:r w:rsidRPr="00F11291">
              <w:rPr>
                <w:rFonts w:ascii="Arial Narrow" w:hAnsi="Arial Narrow" w:cs="Arial"/>
                <w:sz w:val="22"/>
                <w:szCs w:val="22"/>
              </w:rPr>
              <w:t xml:space="preserve">, 2004), publicado en castellano en </w:t>
            </w:r>
            <w:r w:rsidRPr="00F11291">
              <w:rPr>
                <w:rFonts w:ascii="Arial Narrow" w:hAnsi="Arial Narrow" w:cs="Arial"/>
                <w:i/>
                <w:sz w:val="22"/>
                <w:szCs w:val="22"/>
              </w:rPr>
              <w:t>Anuario de Derechos Humanos, Nueva Época</w:t>
            </w:r>
            <w:r w:rsidRPr="00F11291">
              <w:rPr>
                <w:rFonts w:ascii="Arial Narrow" w:hAnsi="Arial Narrow" w:cs="Arial"/>
                <w:sz w:val="22"/>
                <w:szCs w:val="22"/>
              </w:rPr>
              <w:t>, volumen 7, tomo I, 2006, págs. 437-458. ISSN 0212-0364.</w:t>
            </w:r>
          </w:p>
          <w:p w:rsidR="001A6C4C" w:rsidRDefault="001A6C4C" w:rsidP="00F04E65"/>
        </w:tc>
      </w:tr>
      <w:tr w:rsidR="001A6C4C" w:rsidTr="00F04E65">
        <w:tc>
          <w:tcPr>
            <w:tcW w:w="1560" w:type="dxa"/>
          </w:tcPr>
          <w:p w:rsidR="001A6C4C" w:rsidRPr="003A369F" w:rsidRDefault="001A6C4C" w:rsidP="00F04E65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A6C4C" w:rsidRDefault="001A6C4C" w:rsidP="00F04E65"/>
        </w:tc>
      </w:tr>
    </w:tbl>
    <w:p w:rsidR="001A6C4C" w:rsidRDefault="001A6C4C" w:rsidP="001A6C4C"/>
    <w:p w:rsidR="001A6C4C" w:rsidRDefault="001A6C4C" w:rsidP="001A6C4C">
      <w:r>
        <w:br w:type="page"/>
      </w:r>
    </w:p>
    <w:p w:rsidR="00D7007B" w:rsidRDefault="00D7007B"/>
    <w:sectPr w:rsidR="00D7007B" w:rsidSect="00D700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1B" w:rsidRDefault="0035221B" w:rsidP="001A6C4C">
      <w:pPr>
        <w:spacing w:after="0" w:line="240" w:lineRule="auto"/>
      </w:pPr>
      <w:r>
        <w:separator/>
      </w:r>
    </w:p>
  </w:endnote>
  <w:endnote w:type="continuationSeparator" w:id="0">
    <w:p w:rsidR="0035221B" w:rsidRDefault="0035221B" w:rsidP="001A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1B" w:rsidRDefault="0035221B" w:rsidP="001A6C4C">
      <w:pPr>
        <w:spacing w:after="0" w:line="240" w:lineRule="auto"/>
      </w:pPr>
      <w:r>
        <w:separator/>
      </w:r>
    </w:p>
  </w:footnote>
  <w:footnote w:type="continuationSeparator" w:id="0">
    <w:p w:rsidR="0035221B" w:rsidRDefault="0035221B" w:rsidP="001A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4C" w:rsidRDefault="001A6C4C">
    <w:pPr>
      <w:pStyle w:val="Encabezado"/>
    </w:pPr>
    <w:r w:rsidRPr="001A6C4C">
      <w:rPr>
        <w:noProof/>
        <w:lang w:eastAsia="es-ES"/>
      </w:rPr>
      <w:drawing>
        <wp:inline distT="0" distB="0" distL="0" distR="0">
          <wp:extent cx="1838528" cy="473285"/>
          <wp:effectExtent l="19050" t="0" r="9322" b="0"/>
          <wp:docPr id="1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302" cy="48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6C4C" w:rsidRDefault="001A6C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4D6"/>
    <w:multiLevelType w:val="hybridMultilevel"/>
    <w:tmpl w:val="E46A6B6A"/>
    <w:lvl w:ilvl="0" w:tplc="21F2A958">
      <w:start w:val="1"/>
      <w:numFmt w:val="decimal"/>
      <w:lvlText w:val="%1."/>
      <w:lvlJc w:val="left"/>
      <w:pPr>
        <w:ind w:left="362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2" w:hanging="360"/>
      </w:pPr>
    </w:lvl>
    <w:lvl w:ilvl="2" w:tplc="0C0A001B" w:tentative="1">
      <w:start w:val="1"/>
      <w:numFmt w:val="lowerRoman"/>
      <w:lvlText w:val="%3."/>
      <w:lvlJc w:val="right"/>
      <w:pPr>
        <w:ind w:left="1802" w:hanging="180"/>
      </w:pPr>
    </w:lvl>
    <w:lvl w:ilvl="3" w:tplc="0C0A000F" w:tentative="1">
      <w:start w:val="1"/>
      <w:numFmt w:val="decimal"/>
      <w:lvlText w:val="%4."/>
      <w:lvlJc w:val="left"/>
      <w:pPr>
        <w:ind w:left="2522" w:hanging="360"/>
      </w:pPr>
    </w:lvl>
    <w:lvl w:ilvl="4" w:tplc="0C0A0019" w:tentative="1">
      <w:start w:val="1"/>
      <w:numFmt w:val="lowerLetter"/>
      <w:lvlText w:val="%5."/>
      <w:lvlJc w:val="left"/>
      <w:pPr>
        <w:ind w:left="3242" w:hanging="360"/>
      </w:pPr>
    </w:lvl>
    <w:lvl w:ilvl="5" w:tplc="0C0A001B" w:tentative="1">
      <w:start w:val="1"/>
      <w:numFmt w:val="lowerRoman"/>
      <w:lvlText w:val="%6."/>
      <w:lvlJc w:val="right"/>
      <w:pPr>
        <w:ind w:left="3962" w:hanging="180"/>
      </w:pPr>
    </w:lvl>
    <w:lvl w:ilvl="6" w:tplc="0C0A000F" w:tentative="1">
      <w:start w:val="1"/>
      <w:numFmt w:val="decimal"/>
      <w:lvlText w:val="%7."/>
      <w:lvlJc w:val="left"/>
      <w:pPr>
        <w:ind w:left="4682" w:hanging="360"/>
      </w:pPr>
    </w:lvl>
    <w:lvl w:ilvl="7" w:tplc="0C0A0019" w:tentative="1">
      <w:start w:val="1"/>
      <w:numFmt w:val="lowerLetter"/>
      <w:lvlText w:val="%8."/>
      <w:lvlJc w:val="left"/>
      <w:pPr>
        <w:ind w:left="5402" w:hanging="360"/>
      </w:pPr>
    </w:lvl>
    <w:lvl w:ilvl="8" w:tplc="0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28D8211B"/>
    <w:multiLevelType w:val="hybridMultilevel"/>
    <w:tmpl w:val="921828BA"/>
    <w:lvl w:ilvl="0" w:tplc="0C0A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>
    <w:nsid w:val="2ED71BBA"/>
    <w:multiLevelType w:val="hybridMultilevel"/>
    <w:tmpl w:val="910E3890"/>
    <w:lvl w:ilvl="0" w:tplc="A47EE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AA316F"/>
    <w:multiLevelType w:val="hybridMultilevel"/>
    <w:tmpl w:val="79D43486"/>
    <w:lvl w:ilvl="0" w:tplc="0C0A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>
    <w:nsid w:val="7CBC1A57"/>
    <w:multiLevelType w:val="hybridMultilevel"/>
    <w:tmpl w:val="776A89DE"/>
    <w:lvl w:ilvl="0" w:tplc="0C0A000F">
      <w:start w:val="1"/>
      <w:numFmt w:val="decimal"/>
      <w:lvlText w:val="%1."/>
      <w:lvlJc w:val="left"/>
      <w:pPr>
        <w:ind w:left="722" w:hanging="360"/>
      </w:pPr>
    </w:lvl>
    <w:lvl w:ilvl="1" w:tplc="0C0A0019" w:tentative="1">
      <w:start w:val="1"/>
      <w:numFmt w:val="lowerLetter"/>
      <w:lvlText w:val="%2."/>
      <w:lvlJc w:val="left"/>
      <w:pPr>
        <w:ind w:left="1442" w:hanging="360"/>
      </w:pPr>
    </w:lvl>
    <w:lvl w:ilvl="2" w:tplc="0C0A001B" w:tentative="1">
      <w:start w:val="1"/>
      <w:numFmt w:val="lowerRoman"/>
      <w:lvlText w:val="%3."/>
      <w:lvlJc w:val="right"/>
      <w:pPr>
        <w:ind w:left="2162" w:hanging="180"/>
      </w:pPr>
    </w:lvl>
    <w:lvl w:ilvl="3" w:tplc="0C0A000F" w:tentative="1">
      <w:start w:val="1"/>
      <w:numFmt w:val="decimal"/>
      <w:lvlText w:val="%4."/>
      <w:lvlJc w:val="left"/>
      <w:pPr>
        <w:ind w:left="2882" w:hanging="360"/>
      </w:pPr>
    </w:lvl>
    <w:lvl w:ilvl="4" w:tplc="0C0A0019" w:tentative="1">
      <w:start w:val="1"/>
      <w:numFmt w:val="lowerLetter"/>
      <w:lvlText w:val="%5."/>
      <w:lvlJc w:val="left"/>
      <w:pPr>
        <w:ind w:left="3602" w:hanging="360"/>
      </w:pPr>
    </w:lvl>
    <w:lvl w:ilvl="5" w:tplc="0C0A001B" w:tentative="1">
      <w:start w:val="1"/>
      <w:numFmt w:val="lowerRoman"/>
      <w:lvlText w:val="%6."/>
      <w:lvlJc w:val="right"/>
      <w:pPr>
        <w:ind w:left="4322" w:hanging="180"/>
      </w:pPr>
    </w:lvl>
    <w:lvl w:ilvl="6" w:tplc="0C0A000F" w:tentative="1">
      <w:start w:val="1"/>
      <w:numFmt w:val="decimal"/>
      <w:lvlText w:val="%7."/>
      <w:lvlJc w:val="left"/>
      <w:pPr>
        <w:ind w:left="5042" w:hanging="360"/>
      </w:pPr>
    </w:lvl>
    <w:lvl w:ilvl="7" w:tplc="0C0A0019" w:tentative="1">
      <w:start w:val="1"/>
      <w:numFmt w:val="lowerLetter"/>
      <w:lvlText w:val="%8."/>
      <w:lvlJc w:val="left"/>
      <w:pPr>
        <w:ind w:left="5762" w:hanging="360"/>
      </w:pPr>
    </w:lvl>
    <w:lvl w:ilvl="8" w:tplc="0C0A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A6C4C"/>
    <w:rsid w:val="001A6C4C"/>
    <w:rsid w:val="002940EB"/>
    <w:rsid w:val="0035221B"/>
    <w:rsid w:val="0060625C"/>
    <w:rsid w:val="00A53DDC"/>
    <w:rsid w:val="00AC27CD"/>
    <w:rsid w:val="00C62896"/>
    <w:rsid w:val="00CE7B49"/>
    <w:rsid w:val="00D7007B"/>
    <w:rsid w:val="00DA6BB6"/>
    <w:rsid w:val="00EC5EB2"/>
    <w:rsid w:val="00FF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4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A6C4C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1A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A6C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A6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6C4C"/>
  </w:style>
  <w:style w:type="paragraph" w:styleId="Piedepgina">
    <w:name w:val="footer"/>
    <w:basedOn w:val="Normal"/>
    <w:link w:val="PiedepginaCar"/>
    <w:uiPriority w:val="99"/>
    <w:semiHidden/>
    <w:unhideWhenUsed/>
    <w:rsid w:val="001A6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6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1895</Words>
  <Characters>10423</Characters>
  <Application>Microsoft Office Word</Application>
  <DocSecurity>0</DocSecurity>
  <Lines>86</Lines>
  <Paragraphs>24</Paragraphs>
  <ScaleCrop>false</ScaleCrop>
  <Company/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4</cp:revision>
  <dcterms:created xsi:type="dcterms:W3CDTF">2019-06-27T05:26:00Z</dcterms:created>
  <dcterms:modified xsi:type="dcterms:W3CDTF">2019-07-04T16:59:00Z</dcterms:modified>
</cp:coreProperties>
</file>